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7C" w:rsidRPr="00D21B7C" w:rsidRDefault="006D4D2D" w:rsidP="006D4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27DE2">
        <w:rPr>
          <w:rFonts w:ascii="Times New Roman" w:hAnsi="Times New Roman" w:cs="Times New Roman"/>
          <w:sz w:val="28"/>
          <w:szCs w:val="28"/>
        </w:rPr>
        <w:t xml:space="preserve">    ПРОТОКОЛ № 8</w:t>
      </w:r>
    </w:p>
    <w:p w:rsidR="00D21B7C" w:rsidRPr="00D21B7C" w:rsidRDefault="00D21B7C" w:rsidP="00D21B7C">
      <w:pPr>
        <w:ind w:left="360"/>
        <w:rPr>
          <w:rFonts w:ascii="Times New Roman" w:hAnsi="Times New Roman" w:cs="Times New Roman"/>
          <w:sz w:val="28"/>
          <w:szCs w:val="28"/>
        </w:rPr>
      </w:pPr>
      <w:r w:rsidRPr="00D21B7C"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при ГУЗ «ГБ№11 </w:t>
      </w:r>
      <w:proofErr w:type="spellStart"/>
      <w:r w:rsidRPr="00D21B7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21B7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21B7C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D21B7C">
        <w:rPr>
          <w:rFonts w:ascii="Times New Roman" w:hAnsi="Times New Roman" w:cs="Times New Roman"/>
          <w:sz w:val="28"/>
          <w:szCs w:val="28"/>
        </w:rPr>
        <w:t>»</w:t>
      </w:r>
    </w:p>
    <w:p w:rsidR="00D21B7C" w:rsidRPr="00D21B7C" w:rsidRDefault="00A27DE2" w:rsidP="00D2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  22</w:t>
      </w:r>
      <w:r w:rsidR="00F50E93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.16</w:t>
      </w:r>
      <w:r w:rsidR="00D21B7C" w:rsidRPr="00D21B7C">
        <w:rPr>
          <w:rFonts w:ascii="Times New Roman" w:hAnsi="Times New Roman" w:cs="Times New Roman"/>
          <w:sz w:val="28"/>
          <w:szCs w:val="28"/>
        </w:rPr>
        <w:t xml:space="preserve">г 14час. Место проведения – конференц-зал поликлиники по адресу: </w:t>
      </w:r>
      <w:proofErr w:type="spellStart"/>
      <w:r w:rsidR="00D21B7C" w:rsidRPr="00D21B7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21B7C" w:rsidRPr="00D21B7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21B7C" w:rsidRPr="00D21B7C">
        <w:rPr>
          <w:rFonts w:ascii="Times New Roman" w:hAnsi="Times New Roman" w:cs="Times New Roman"/>
          <w:sz w:val="28"/>
          <w:szCs w:val="28"/>
        </w:rPr>
        <w:t>ула</w:t>
      </w:r>
      <w:proofErr w:type="spellEnd"/>
      <w:r w:rsidR="00D21B7C" w:rsidRPr="00D21B7C">
        <w:rPr>
          <w:rFonts w:ascii="Times New Roman" w:hAnsi="Times New Roman" w:cs="Times New Roman"/>
          <w:sz w:val="28"/>
          <w:szCs w:val="28"/>
        </w:rPr>
        <w:t>, ул. Металлургов д.40.</w:t>
      </w:r>
    </w:p>
    <w:p w:rsidR="00D21B7C" w:rsidRPr="00D21B7C" w:rsidRDefault="00D21B7C" w:rsidP="00D21B7C">
      <w:pPr>
        <w:ind w:left="360"/>
        <w:rPr>
          <w:rFonts w:ascii="Times New Roman" w:hAnsi="Times New Roman" w:cs="Times New Roman"/>
          <w:sz w:val="28"/>
          <w:szCs w:val="28"/>
        </w:rPr>
      </w:pPr>
      <w:r w:rsidRPr="00D21B7C">
        <w:rPr>
          <w:rFonts w:ascii="Times New Roman" w:hAnsi="Times New Roman" w:cs="Times New Roman"/>
          <w:sz w:val="28"/>
          <w:szCs w:val="28"/>
        </w:rPr>
        <w:t>Председательствовала: Иванова И.М.</w:t>
      </w:r>
    </w:p>
    <w:p w:rsidR="00D21B7C" w:rsidRPr="00F85D63" w:rsidRDefault="0060325E" w:rsidP="00F85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 </w:t>
      </w:r>
      <w:r w:rsidR="00D21B7C" w:rsidRPr="00D21B7C">
        <w:rPr>
          <w:rFonts w:ascii="Times New Roman" w:hAnsi="Times New Roman" w:cs="Times New Roman"/>
          <w:sz w:val="28"/>
          <w:szCs w:val="28"/>
        </w:rPr>
        <w:t xml:space="preserve">Свиридов В.В., </w:t>
      </w:r>
      <w:proofErr w:type="spellStart"/>
      <w:r w:rsidR="00D21B7C" w:rsidRPr="00D21B7C">
        <w:rPr>
          <w:rFonts w:ascii="Times New Roman" w:hAnsi="Times New Roman" w:cs="Times New Roman"/>
          <w:sz w:val="28"/>
          <w:szCs w:val="28"/>
        </w:rPr>
        <w:t>Солозобова</w:t>
      </w:r>
      <w:proofErr w:type="spellEnd"/>
      <w:r w:rsidR="00D21B7C" w:rsidRPr="00D21B7C">
        <w:rPr>
          <w:rFonts w:ascii="Times New Roman" w:hAnsi="Times New Roman" w:cs="Times New Roman"/>
          <w:sz w:val="28"/>
          <w:szCs w:val="28"/>
        </w:rPr>
        <w:t xml:space="preserve"> С.Ю., Куличков В.Н, Смирнов А.А., Бережная</w:t>
      </w:r>
      <w:r>
        <w:rPr>
          <w:rFonts w:ascii="Times New Roman" w:hAnsi="Times New Roman" w:cs="Times New Roman"/>
          <w:sz w:val="28"/>
          <w:szCs w:val="28"/>
        </w:rPr>
        <w:t xml:space="preserve"> И.В., Иванова И.М., </w:t>
      </w:r>
      <w:r w:rsidR="00D21B7C" w:rsidRPr="00D21B7C">
        <w:rPr>
          <w:rFonts w:ascii="Times New Roman" w:hAnsi="Times New Roman" w:cs="Times New Roman"/>
          <w:sz w:val="28"/>
          <w:szCs w:val="28"/>
        </w:rPr>
        <w:t xml:space="preserve"> Лукина Г.И., Тарасова О.А., </w:t>
      </w:r>
      <w:proofErr w:type="spellStart"/>
      <w:r w:rsidR="00D21B7C" w:rsidRPr="00D21B7C">
        <w:rPr>
          <w:rFonts w:ascii="Times New Roman" w:hAnsi="Times New Roman" w:cs="Times New Roman"/>
          <w:sz w:val="28"/>
          <w:szCs w:val="28"/>
        </w:rPr>
        <w:t>Каптюхина</w:t>
      </w:r>
      <w:proofErr w:type="spellEnd"/>
      <w:r w:rsidR="00D21B7C" w:rsidRPr="00D21B7C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305E43" w:rsidRDefault="00777343" w:rsidP="00F50E93">
      <w:pPr>
        <w:pStyle w:val="a4"/>
        <w:numPr>
          <w:ilvl w:val="0"/>
          <w:numId w:val="2"/>
        </w:numPr>
        <w:tabs>
          <w:tab w:val="clear" w:pos="1800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пр</w:t>
      </w:r>
      <w:r w:rsidR="00F50E93">
        <w:rPr>
          <w:rFonts w:ascii="Times New Roman" w:hAnsi="Times New Roman" w:cs="Times New Roman"/>
          <w:sz w:val="28"/>
          <w:szCs w:val="28"/>
        </w:rPr>
        <w:t>едседателя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E93">
        <w:rPr>
          <w:rFonts w:ascii="Times New Roman" w:hAnsi="Times New Roman" w:cs="Times New Roman"/>
          <w:sz w:val="28"/>
          <w:szCs w:val="28"/>
        </w:rPr>
        <w:t>Ивановой И.М</w:t>
      </w:r>
      <w:r w:rsidR="00A27DE2">
        <w:rPr>
          <w:rFonts w:ascii="Times New Roman" w:hAnsi="Times New Roman" w:cs="Times New Roman"/>
          <w:sz w:val="28"/>
          <w:szCs w:val="28"/>
        </w:rPr>
        <w:t>. об итогах работы совета в 2016</w:t>
      </w:r>
      <w:r w:rsidR="00F50E9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50E93" w:rsidRDefault="00A27DE2" w:rsidP="00F50E93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было проведено 7</w:t>
      </w:r>
      <w:r w:rsidR="00F50E93">
        <w:rPr>
          <w:rFonts w:ascii="Times New Roman" w:hAnsi="Times New Roman" w:cs="Times New Roman"/>
          <w:sz w:val="28"/>
          <w:szCs w:val="28"/>
        </w:rPr>
        <w:t xml:space="preserve"> заседаний общественного совета. В ходе заседаний обсуждались насущные вопросы, касающиеся качества обслуживания населения, оказания медицинской помощи. </w:t>
      </w:r>
    </w:p>
    <w:p w:rsidR="00F50E93" w:rsidRDefault="00F50E93" w:rsidP="00F50E93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по независимой оценки качества оказания медицинской помощи в ГУЗ «ГБ№11 г.</w:t>
      </w:r>
      <w:r w:rsidR="00A27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Тулы» ежемесячно проводили анкетирование пациентов в стационаре и поликлинике. В ходе анкетирования выяснялись проблемные моменты в работе ЛПУ, которые в дальнейшем обсуждались на заседаниях общественного 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7DE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A27D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27DE2">
        <w:rPr>
          <w:rFonts w:ascii="Times New Roman" w:hAnsi="Times New Roman" w:cs="Times New Roman"/>
          <w:sz w:val="28"/>
          <w:szCs w:val="28"/>
        </w:rPr>
        <w:t xml:space="preserve">роведение ремонта в терапевтическом отделении, приобретение нового оборудования или ремонт, вышедшего из строя оборудования, </w:t>
      </w:r>
      <w:r w:rsidR="00206C07">
        <w:rPr>
          <w:rFonts w:ascii="Times New Roman" w:hAnsi="Times New Roman" w:cs="Times New Roman"/>
          <w:sz w:val="28"/>
          <w:szCs w:val="28"/>
        </w:rPr>
        <w:t>уменьшение времени ожидания в очереди на плановую госпитализацию в приемном отделении и на прием к врачу в поликлинике и.</w:t>
      </w:r>
      <w:r w:rsidR="004D67A7">
        <w:rPr>
          <w:rFonts w:ascii="Times New Roman" w:hAnsi="Times New Roman" w:cs="Times New Roman"/>
          <w:sz w:val="28"/>
          <w:szCs w:val="28"/>
        </w:rPr>
        <w:t xml:space="preserve"> </w:t>
      </w:r>
      <w:r w:rsidR="00206C07">
        <w:rPr>
          <w:rFonts w:ascii="Times New Roman" w:hAnsi="Times New Roman" w:cs="Times New Roman"/>
          <w:sz w:val="28"/>
          <w:szCs w:val="28"/>
        </w:rPr>
        <w:t>д.</w:t>
      </w:r>
      <w:bookmarkStart w:id="0" w:name="_GoBack"/>
      <w:bookmarkEnd w:id="0"/>
    </w:p>
    <w:p w:rsidR="00F50E93" w:rsidRDefault="00F50E93" w:rsidP="00F50E93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 постоянно выносили предложения руководителю учреждения. Так для оптимизации работы по проведению дополнительной диспансеризации населения</w:t>
      </w:r>
      <w:r w:rsidR="007E3AB4">
        <w:rPr>
          <w:rFonts w:ascii="Times New Roman" w:hAnsi="Times New Roman" w:cs="Times New Roman"/>
          <w:sz w:val="28"/>
          <w:szCs w:val="28"/>
        </w:rPr>
        <w:t xml:space="preserve"> было предложено проводить «</w:t>
      </w:r>
      <w:proofErr w:type="spellStart"/>
      <w:r w:rsidR="007E3AB4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="007E3AB4">
        <w:rPr>
          <w:rFonts w:ascii="Times New Roman" w:hAnsi="Times New Roman" w:cs="Times New Roman"/>
          <w:sz w:val="28"/>
          <w:szCs w:val="28"/>
        </w:rPr>
        <w:t xml:space="preserve"> обходы», размещение объявлений на обслуживаемой территории. Предлагались меры по снижению очередности в поликлинике.</w:t>
      </w:r>
    </w:p>
    <w:p w:rsidR="007E3AB4" w:rsidRDefault="00206C07" w:rsidP="00F50E93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течение 2016</w:t>
      </w:r>
      <w:r w:rsidR="007E3AB4">
        <w:rPr>
          <w:rFonts w:ascii="Times New Roman" w:hAnsi="Times New Roman" w:cs="Times New Roman"/>
          <w:sz w:val="28"/>
          <w:szCs w:val="28"/>
        </w:rPr>
        <w:t xml:space="preserve"> года, председателем совета посещались все конференции и заседания, проводимые в Тульской области, для членов общественных советов.</w:t>
      </w:r>
    </w:p>
    <w:p w:rsidR="007E3AB4" w:rsidRDefault="007E3AB4" w:rsidP="00F50E93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06C07">
        <w:rPr>
          <w:rFonts w:ascii="Times New Roman" w:hAnsi="Times New Roman" w:cs="Times New Roman"/>
          <w:sz w:val="28"/>
          <w:szCs w:val="28"/>
        </w:rPr>
        <w:t>итогам проделанной работы в 2016</w:t>
      </w:r>
      <w:r>
        <w:rPr>
          <w:rFonts w:ascii="Times New Roman" w:hAnsi="Times New Roman" w:cs="Times New Roman"/>
          <w:sz w:val="28"/>
          <w:szCs w:val="28"/>
        </w:rPr>
        <w:t xml:space="preserve"> году, можно сделать следующие выводы:</w:t>
      </w:r>
    </w:p>
    <w:p w:rsidR="007E3AB4" w:rsidRDefault="007E3AB4" w:rsidP="00F50E93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улучшились показатели оценки качества и доступности медицинских услуг;</w:t>
      </w:r>
    </w:p>
    <w:p w:rsidR="007E3AB4" w:rsidRDefault="007E3AB4" w:rsidP="00F50E93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снизилась очередность в поликлинике и т.д.</w:t>
      </w:r>
    </w:p>
    <w:p w:rsidR="007E3AB4" w:rsidRDefault="00206C07" w:rsidP="00F50E93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Предложения на 2017</w:t>
      </w:r>
      <w:r w:rsidR="007E3AB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E3AB4" w:rsidRDefault="007E3AB4" w:rsidP="00F50E93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активную работу общественного совета, по улучшению работы ЛПУ, в вопросах доступности медицинской помощи. Ежемесячно проводить анкетирование пациентов, вносить предложения в адрес руководства ЛПУ.</w:t>
      </w:r>
      <w:r w:rsidR="00206C07">
        <w:rPr>
          <w:rFonts w:ascii="Times New Roman" w:hAnsi="Times New Roman" w:cs="Times New Roman"/>
          <w:sz w:val="28"/>
          <w:szCs w:val="28"/>
        </w:rPr>
        <w:t xml:space="preserve"> Составить график для поступления плановых больных в клинические подразделения стационара. Использование в </w:t>
      </w:r>
      <w:proofErr w:type="gramStart"/>
      <w:r w:rsidR="00206C07">
        <w:rPr>
          <w:rFonts w:ascii="Times New Roman" w:hAnsi="Times New Roman" w:cs="Times New Roman"/>
          <w:sz w:val="28"/>
          <w:szCs w:val="28"/>
        </w:rPr>
        <w:t>полном</w:t>
      </w:r>
      <w:proofErr w:type="gramEnd"/>
      <w:r w:rsidR="0020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C07">
        <w:rPr>
          <w:rFonts w:ascii="Times New Roman" w:hAnsi="Times New Roman" w:cs="Times New Roman"/>
          <w:sz w:val="28"/>
          <w:szCs w:val="28"/>
        </w:rPr>
        <w:t>оъеме</w:t>
      </w:r>
      <w:proofErr w:type="spellEnd"/>
      <w:r w:rsidR="00206C07">
        <w:rPr>
          <w:rFonts w:ascii="Times New Roman" w:hAnsi="Times New Roman" w:cs="Times New Roman"/>
          <w:sz w:val="28"/>
          <w:szCs w:val="28"/>
        </w:rPr>
        <w:t xml:space="preserve"> средств механизации, установленных по программе «Доступная среда» для граждан с ограниченными возможностями. Подготовить документацию на замену лифтового оборудования в поликлинике.</w:t>
      </w:r>
      <w:r w:rsidR="004D67A7">
        <w:rPr>
          <w:rFonts w:ascii="Times New Roman" w:hAnsi="Times New Roman" w:cs="Times New Roman"/>
          <w:sz w:val="28"/>
          <w:szCs w:val="28"/>
        </w:rPr>
        <w:t xml:space="preserve"> Проводить семинары с сотрудниками по вопросам этике и деонтологии.</w:t>
      </w:r>
    </w:p>
    <w:p w:rsidR="007E3AB4" w:rsidRDefault="007E3AB4" w:rsidP="00F50E93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E3AB4" w:rsidRDefault="007E3AB4" w:rsidP="007E3A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Бережная И.В.- председател</w:t>
      </w:r>
      <w:r w:rsidR="007651CD">
        <w:rPr>
          <w:rFonts w:ascii="Times New Roman" w:hAnsi="Times New Roman" w:cs="Times New Roman"/>
          <w:sz w:val="28"/>
          <w:szCs w:val="28"/>
        </w:rPr>
        <w:t>ь комиссии по независимой оценке качества работы и оказания медицинской помощи.</w:t>
      </w:r>
    </w:p>
    <w:p w:rsidR="007651CD" w:rsidRDefault="007651CD" w:rsidP="00765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06C07">
        <w:rPr>
          <w:rFonts w:ascii="Times New Roman" w:hAnsi="Times New Roman" w:cs="Times New Roman"/>
          <w:sz w:val="28"/>
          <w:szCs w:val="28"/>
        </w:rPr>
        <w:t>Итоги анкетирования в  2016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1260"/>
        <w:gridCol w:w="1334"/>
        <w:gridCol w:w="1352"/>
        <w:gridCol w:w="1019"/>
        <w:gridCol w:w="1284"/>
      </w:tblGrid>
      <w:tr w:rsidR="00206C07" w:rsidRPr="003A3CBB" w:rsidTr="00A25FD4">
        <w:tc>
          <w:tcPr>
            <w:tcW w:w="2628" w:type="dxa"/>
            <w:vMerge w:val="restart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7509" w:type="dxa"/>
            <w:gridSpan w:val="6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оценка показателя за  2016 год</w:t>
            </w:r>
          </w:p>
        </w:tc>
      </w:tr>
      <w:tr w:rsidR="00206C07" w:rsidRPr="003A3CBB" w:rsidTr="00A25FD4">
        <w:tc>
          <w:tcPr>
            <w:tcW w:w="2628" w:type="dxa"/>
            <w:vMerge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gridSpan w:val="3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Амбулаторная помощь</w:t>
            </w:r>
          </w:p>
        </w:tc>
        <w:tc>
          <w:tcPr>
            <w:tcW w:w="3655" w:type="dxa"/>
            <w:gridSpan w:val="3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Стационарная помощь</w:t>
            </w:r>
          </w:p>
        </w:tc>
      </w:tr>
      <w:tr w:rsidR="00206C07" w:rsidRPr="003A3CBB" w:rsidTr="00A25FD4">
        <w:tc>
          <w:tcPr>
            <w:tcW w:w="2628" w:type="dxa"/>
            <w:vMerge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1260" w:type="dxa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CBB">
              <w:rPr>
                <w:rFonts w:ascii="Times New Roman" w:hAnsi="Times New Roman" w:cs="Times New Roman"/>
              </w:rPr>
              <w:t>Количе</w:t>
            </w:r>
            <w:proofErr w:type="spellEnd"/>
            <w:r w:rsidRPr="003A3CBB">
              <w:rPr>
                <w:rFonts w:ascii="Times New Roman" w:hAnsi="Times New Roman" w:cs="Times New Roman"/>
              </w:rPr>
              <w:t>-</w:t>
            </w:r>
          </w:p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CBB">
              <w:rPr>
                <w:rFonts w:ascii="Times New Roman" w:hAnsi="Times New Roman" w:cs="Times New Roman"/>
              </w:rPr>
              <w:t>ство</w:t>
            </w:r>
            <w:proofErr w:type="spellEnd"/>
          </w:p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334" w:type="dxa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% удовлетворенности</w:t>
            </w:r>
          </w:p>
        </w:tc>
        <w:tc>
          <w:tcPr>
            <w:tcW w:w="1352" w:type="dxa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1019" w:type="dxa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284" w:type="dxa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% удовлетворенности</w:t>
            </w:r>
          </w:p>
        </w:tc>
      </w:tr>
      <w:tr w:rsidR="00206C07" w:rsidRPr="003A3CBB" w:rsidTr="00A25FD4">
        <w:tc>
          <w:tcPr>
            <w:tcW w:w="2628" w:type="dxa"/>
            <w:shd w:val="clear" w:color="auto" w:fill="auto"/>
          </w:tcPr>
          <w:p w:rsidR="00206C07" w:rsidRPr="003A3CBB" w:rsidRDefault="00206C07" w:rsidP="00A25FD4">
            <w:pPr>
              <w:pStyle w:val="10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Открытость и доступность информации о медицинской организации</w:t>
            </w:r>
          </w:p>
        </w:tc>
        <w:tc>
          <w:tcPr>
            <w:tcW w:w="1260" w:type="dxa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34" w:type="dxa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92,85</w:t>
            </w:r>
          </w:p>
        </w:tc>
        <w:tc>
          <w:tcPr>
            <w:tcW w:w="1352" w:type="dxa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9" w:type="dxa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4" w:type="dxa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</w:tr>
      <w:tr w:rsidR="00206C07" w:rsidRPr="003A3CBB" w:rsidTr="00A25FD4">
        <w:tc>
          <w:tcPr>
            <w:tcW w:w="2628" w:type="dxa"/>
            <w:shd w:val="clear" w:color="auto" w:fill="auto"/>
          </w:tcPr>
          <w:p w:rsidR="00206C07" w:rsidRPr="003A3CBB" w:rsidRDefault="00206C07" w:rsidP="00A25FD4">
            <w:pPr>
              <w:pStyle w:val="10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Комфортность условий и доступность получения медицинских услуг, в том числе для граждан с ограниченными возможностями здоровья</w:t>
            </w:r>
          </w:p>
        </w:tc>
        <w:tc>
          <w:tcPr>
            <w:tcW w:w="1260" w:type="dxa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34" w:type="dxa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352" w:type="dxa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19" w:type="dxa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84" w:type="dxa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</w:tr>
      <w:tr w:rsidR="00206C07" w:rsidRPr="003A3CBB" w:rsidTr="00A25FD4">
        <w:tc>
          <w:tcPr>
            <w:tcW w:w="2628" w:type="dxa"/>
            <w:shd w:val="clear" w:color="auto" w:fill="auto"/>
          </w:tcPr>
          <w:p w:rsidR="00206C07" w:rsidRPr="003A3CBB" w:rsidRDefault="00206C07" w:rsidP="00A25FD4">
            <w:pPr>
              <w:pStyle w:val="10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Время ожидания в очереди при получении медицинской услуги</w:t>
            </w:r>
          </w:p>
        </w:tc>
        <w:tc>
          <w:tcPr>
            <w:tcW w:w="1260" w:type="dxa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34" w:type="dxa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352" w:type="dxa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A3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9" w:type="dxa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4" w:type="dxa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06C07" w:rsidRPr="003A3CBB" w:rsidTr="00A25FD4">
        <w:tc>
          <w:tcPr>
            <w:tcW w:w="2628" w:type="dxa"/>
            <w:shd w:val="clear" w:color="auto" w:fill="auto"/>
          </w:tcPr>
          <w:p w:rsidR="00206C07" w:rsidRPr="003A3CBB" w:rsidRDefault="00206C07" w:rsidP="00A25FD4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Доброжелательность, и вежливость  компетентность работников медицинской организации</w:t>
            </w:r>
          </w:p>
        </w:tc>
        <w:tc>
          <w:tcPr>
            <w:tcW w:w="1260" w:type="dxa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4" w:type="dxa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2" w:type="dxa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9" w:type="dxa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4" w:type="dxa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06C07" w:rsidRPr="003A3CBB" w:rsidTr="00A25FD4">
        <w:tc>
          <w:tcPr>
            <w:tcW w:w="2628" w:type="dxa"/>
            <w:shd w:val="clear" w:color="auto" w:fill="auto"/>
          </w:tcPr>
          <w:p w:rsidR="00206C07" w:rsidRPr="003A3CBB" w:rsidRDefault="00206C07" w:rsidP="00A25FD4">
            <w:pPr>
              <w:pStyle w:val="10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Удовлетворенность качеством обслуживания в медицинской организации</w:t>
            </w:r>
          </w:p>
        </w:tc>
        <w:tc>
          <w:tcPr>
            <w:tcW w:w="1260" w:type="dxa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4" w:type="dxa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52" w:type="dxa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3A3C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9" w:type="dxa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4" w:type="dxa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06C07" w:rsidRPr="003A3CBB" w:rsidTr="00A25FD4">
        <w:tc>
          <w:tcPr>
            <w:tcW w:w="10137" w:type="dxa"/>
            <w:gridSpan w:val="7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07" w:rsidRPr="003A3CBB" w:rsidTr="00A25FD4">
        <w:tc>
          <w:tcPr>
            <w:tcW w:w="2628" w:type="dxa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60" w:type="dxa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34" w:type="dxa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352" w:type="dxa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A3C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9" w:type="dxa"/>
            <w:shd w:val="clear" w:color="auto" w:fill="auto"/>
          </w:tcPr>
          <w:p w:rsidR="00206C07" w:rsidRPr="003A3CBB" w:rsidRDefault="00206C07" w:rsidP="00A25FD4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84" w:type="dxa"/>
            <w:shd w:val="clear" w:color="auto" w:fill="auto"/>
          </w:tcPr>
          <w:p w:rsidR="00206C07" w:rsidRPr="003A3CBB" w:rsidRDefault="00206C07" w:rsidP="00A25FD4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</w:tbl>
    <w:p w:rsidR="00F50E93" w:rsidRPr="007651CD" w:rsidRDefault="007651CD" w:rsidP="00F50E93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анкетирования руководству больницы было предложено продолжить работу по вопросу</w:t>
      </w:r>
      <w:r w:rsidRPr="007651CD">
        <w:rPr>
          <w:rFonts w:ascii="Times New Roman" w:hAnsi="Times New Roman" w:cs="Times New Roman"/>
        </w:rPr>
        <w:t xml:space="preserve"> </w:t>
      </w:r>
      <w:r w:rsidRPr="007651CD">
        <w:rPr>
          <w:rFonts w:ascii="Times New Roman" w:hAnsi="Times New Roman" w:cs="Times New Roman"/>
          <w:sz w:val="28"/>
          <w:szCs w:val="28"/>
        </w:rPr>
        <w:t xml:space="preserve">улучшения комфортности условий и </w:t>
      </w:r>
      <w:r w:rsidRPr="007651CD">
        <w:rPr>
          <w:rFonts w:ascii="Times New Roman" w:hAnsi="Times New Roman" w:cs="Times New Roman"/>
          <w:sz w:val="28"/>
          <w:szCs w:val="28"/>
        </w:rPr>
        <w:lastRenderedPageBreak/>
        <w:t>доступности получения медицинских услуг, в том числе для граждан с ограниченными возможностями здоровья</w:t>
      </w:r>
    </w:p>
    <w:p w:rsidR="00F50E93" w:rsidRDefault="00F50E93" w:rsidP="00F50E93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85848" w:rsidRDefault="00305E43" w:rsidP="006D4D2D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прениях приняли уч</w:t>
      </w:r>
      <w:r w:rsidR="006D4D2D">
        <w:rPr>
          <w:rFonts w:ascii="Times New Roman" w:hAnsi="Times New Roman" w:cs="Times New Roman"/>
          <w:sz w:val="28"/>
          <w:szCs w:val="28"/>
        </w:rPr>
        <w:t>астие Смирнов А.А., Лукина Г.И.</w:t>
      </w:r>
    </w:p>
    <w:p w:rsidR="006D4D2D" w:rsidRPr="006D4D2D" w:rsidRDefault="006D4D2D" w:rsidP="006D4D2D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B3133" w:rsidRPr="007B3133" w:rsidRDefault="007B3133" w:rsidP="007B3133">
      <w:pPr>
        <w:rPr>
          <w:rFonts w:ascii="Times New Roman" w:hAnsi="Times New Roman" w:cs="Times New Roman"/>
          <w:sz w:val="28"/>
          <w:szCs w:val="28"/>
        </w:rPr>
      </w:pPr>
      <w:r w:rsidRPr="007B3133">
        <w:rPr>
          <w:rFonts w:ascii="Times New Roman" w:hAnsi="Times New Roman" w:cs="Times New Roman"/>
          <w:sz w:val="28"/>
          <w:szCs w:val="28"/>
        </w:rPr>
        <w:t>Председатель общественного совета                            Иванова И.М.</w:t>
      </w:r>
    </w:p>
    <w:p w:rsidR="007B3133" w:rsidRPr="00D21B7C" w:rsidRDefault="007B3133" w:rsidP="00D21B7C">
      <w:pPr>
        <w:rPr>
          <w:rFonts w:ascii="Times New Roman" w:hAnsi="Times New Roman" w:cs="Times New Roman"/>
          <w:sz w:val="24"/>
          <w:szCs w:val="24"/>
        </w:rPr>
      </w:pPr>
    </w:p>
    <w:sectPr w:rsidR="007B3133" w:rsidRPr="00D2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7383"/>
    <w:multiLevelType w:val="hybridMultilevel"/>
    <w:tmpl w:val="80967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62FEF"/>
    <w:multiLevelType w:val="hybridMultilevel"/>
    <w:tmpl w:val="2E48FD10"/>
    <w:lvl w:ilvl="0" w:tplc="83E44292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7C"/>
    <w:rsid w:val="000200B5"/>
    <w:rsid w:val="00020BF7"/>
    <w:rsid w:val="000238B3"/>
    <w:rsid w:val="00041EA9"/>
    <w:rsid w:val="00060509"/>
    <w:rsid w:val="00084771"/>
    <w:rsid w:val="00085F93"/>
    <w:rsid w:val="0009479D"/>
    <w:rsid w:val="000A3E6E"/>
    <w:rsid w:val="000B12A0"/>
    <w:rsid w:val="000C002F"/>
    <w:rsid w:val="000C74CC"/>
    <w:rsid w:val="000E3A02"/>
    <w:rsid w:val="000E4444"/>
    <w:rsid w:val="000F6689"/>
    <w:rsid w:val="001106D7"/>
    <w:rsid w:val="0013095D"/>
    <w:rsid w:val="001476EA"/>
    <w:rsid w:val="001A15CD"/>
    <w:rsid w:val="001A1A43"/>
    <w:rsid w:val="001A1B27"/>
    <w:rsid w:val="001C4736"/>
    <w:rsid w:val="001D55F6"/>
    <w:rsid w:val="00201286"/>
    <w:rsid w:val="00206C07"/>
    <w:rsid w:val="00224321"/>
    <w:rsid w:val="0023355E"/>
    <w:rsid w:val="00235A10"/>
    <w:rsid w:val="00260D65"/>
    <w:rsid w:val="00267640"/>
    <w:rsid w:val="00285848"/>
    <w:rsid w:val="002D6564"/>
    <w:rsid w:val="00305E43"/>
    <w:rsid w:val="00313DA4"/>
    <w:rsid w:val="00323087"/>
    <w:rsid w:val="00347B96"/>
    <w:rsid w:val="00350F86"/>
    <w:rsid w:val="00375634"/>
    <w:rsid w:val="0038439E"/>
    <w:rsid w:val="00385D14"/>
    <w:rsid w:val="003A5151"/>
    <w:rsid w:val="003C05C6"/>
    <w:rsid w:val="003F2A11"/>
    <w:rsid w:val="003F4701"/>
    <w:rsid w:val="00404B9B"/>
    <w:rsid w:val="00421E26"/>
    <w:rsid w:val="004320A3"/>
    <w:rsid w:val="00445766"/>
    <w:rsid w:val="0045244E"/>
    <w:rsid w:val="00455CDB"/>
    <w:rsid w:val="00460BA2"/>
    <w:rsid w:val="004628B8"/>
    <w:rsid w:val="00487BC0"/>
    <w:rsid w:val="00492F2E"/>
    <w:rsid w:val="004A0553"/>
    <w:rsid w:val="004D2D73"/>
    <w:rsid w:val="004D397C"/>
    <w:rsid w:val="004D67A7"/>
    <w:rsid w:val="004D67CF"/>
    <w:rsid w:val="004D7FC9"/>
    <w:rsid w:val="004F61F9"/>
    <w:rsid w:val="0051644B"/>
    <w:rsid w:val="00541D49"/>
    <w:rsid w:val="0055707C"/>
    <w:rsid w:val="0057161C"/>
    <w:rsid w:val="00590668"/>
    <w:rsid w:val="005C7313"/>
    <w:rsid w:val="005E2007"/>
    <w:rsid w:val="0060325E"/>
    <w:rsid w:val="0060522B"/>
    <w:rsid w:val="00605494"/>
    <w:rsid w:val="00615B16"/>
    <w:rsid w:val="00631850"/>
    <w:rsid w:val="00644918"/>
    <w:rsid w:val="00653351"/>
    <w:rsid w:val="006C4B29"/>
    <w:rsid w:val="006D4D2D"/>
    <w:rsid w:val="0072631A"/>
    <w:rsid w:val="00735EB8"/>
    <w:rsid w:val="00740B1F"/>
    <w:rsid w:val="007651CD"/>
    <w:rsid w:val="00777343"/>
    <w:rsid w:val="0078459E"/>
    <w:rsid w:val="007975AD"/>
    <w:rsid w:val="007A06B4"/>
    <w:rsid w:val="007B3133"/>
    <w:rsid w:val="007B365F"/>
    <w:rsid w:val="007E3AB4"/>
    <w:rsid w:val="007F12C5"/>
    <w:rsid w:val="008019C4"/>
    <w:rsid w:val="0080591E"/>
    <w:rsid w:val="00810211"/>
    <w:rsid w:val="0085099B"/>
    <w:rsid w:val="00860161"/>
    <w:rsid w:val="00864FA4"/>
    <w:rsid w:val="0087179B"/>
    <w:rsid w:val="008719D1"/>
    <w:rsid w:val="00887987"/>
    <w:rsid w:val="008E2EFA"/>
    <w:rsid w:val="0090452F"/>
    <w:rsid w:val="009068C7"/>
    <w:rsid w:val="009251C7"/>
    <w:rsid w:val="00940D4E"/>
    <w:rsid w:val="00944188"/>
    <w:rsid w:val="00950AA1"/>
    <w:rsid w:val="00957C3A"/>
    <w:rsid w:val="00974947"/>
    <w:rsid w:val="009D388F"/>
    <w:rsid w:val="00A24C19"/>
    <w:rsid w:val="00A27DE2"/>
    <w:rsid w:val="00A47F6E"/>
    <w:rsid w:val="00A77777"/>
    <w:rsid w:val="00AA0BAD"/>
    <w:rsid w:val="00AA6298"/>
    <w:rsid w:val="00AB1D0E"/>
    <w:rsid w:val="00B05C04"/>
    <w:rsid w:val="00B24BCA"/>
    <w:rsid w:val="00B42D58"/>
    <w:rsid w:val="00B43B8D"/>
    <w:rsid w:val="00B520D7"/>
    <w:rsid w:val="00B95959"/>
    <w:rsid w:val="00BA389F"/>
    <w:rsid w:val="00BB6914"/>
    <w:rsid w:val="00BE469C"/>
    <w:rsid w:val="00BE650D"/>
    <w:rsid w:val="00C07D35"/>
    <w:rsid w:val="00C16BEC"/>
    <w:rsid w:val="00C408EB"/>
    <w:rsid w:val="00C52512"/>
    <w:rsid w:val="00C72A55"/>
    <w:rsid w:val="00CA2D58"/>
    <w:rsid w:val="00CA61FC"/>
    <w:rsid w:val="00CC0BD5"/>
    <w:rsid w:val="00CC2B9F"/>
    <w:rsid w:val="00D21B7C"/>
    <w:rsid w:val="00D4090E"/>
    <w:rsid w:val="00D442AB"/>
    <w:rsid w:val="00D604F7"/>
    <w:rsid w:val="00D63749"/>
    <w:rsid w:val="00D86D22"/>
    <w:rsid w:val="00DE5B2E"/>
    <w:rsid w:val="00E0735C"/>
    <w:rsid w:val="00E172AE"/>
    <w:rsid w:val="00E21F06"/>
    <w:rsid w:val="00E62CCF"/>
    <w:rsid w:val="00E75545"/>
    <w:rsid w:val="00E81718"/>
    <w:rsid w:val="00EA1074"/>
    <w:rsid w:val="00EB5550"/>
    <w:rsid w:val="00ED54F5"/>
    <w:rsid w:val="00EE28BB"/>
    <w:rsid w:val="00EE4C12"/>
    <w:rsid w:val="00EE7ECC"/>
    <w:rsid w:val="00EF0334"/>
    <w:rsid w:val="00EF1D4E"/>
    <w:rsid w:val="00EF1F17"/>
    <w:rsid w:val="00F113A9"/>
    <w:rsid w:val="00F13505"/>
    <w:rsid w:val="00F30691"/>
    <w:rsid w:val="00F37380"/>
    <w:rsid w:val="00F50E93"/>
    <w:rsid w:val="00F60FFD"/>
    <w:rsid w:val="00F85D63"/>
    <w:rsid w:val="00F86981"/>
    <w:rsid w:val="00F924BC"/>
    <w:rsid w:val="00FA1DC0"/>
    <w:rsid w:val="00FC607B"/>
    <w:rsid w:val="00FC7A5B"/>
    <w:rsid w:val="00FD2F3A"/>
    <w:rsid w:val="00FE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7343"/>
    <w:pPr>
      <w:ind w:left="720"/>
      <w:contextualSpacing/>
    </w:pPr>
  </w:style>
  <w:style w:type="paragraph" w:customStyle="1" w:styleId="1">
    <w:name w:val="Абзац списка1"/>
    <w:basedOn w:val="a"/>
    <w:rsid w:val="007651CD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0">
    <w:name w:val="Без интервала1"/>
    <w:rsid w:val="007651C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7343"/>
    <w:pPr>
      <w:ind w:left="720"/>
      <w:contextualSpacing/>
    </w:pPr>
  </w:style>
  <w:style w:type="paragraph" w:customStyle="1" w:styleId="1">
    <w:name w:val="Абзац списка1"/>
    <w:basedOn w:val="a"/>
    <w:rsid w:val="007651CD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0">
    <w:name w:val="Без интервала1"/>
    <w:rsid w:val="007651C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2015-08-28T14:12:00Z</dcterms:created>
  <dcterms:modified xsi:type="dcterms:W3CDTF">2016-12-21T08:28:00Z</dcterms:modified>
</cp:coreProperties>
</file>